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14298">
        <w:trPr>
          <w:trHeight w:val="1187"/>
          <w:jc w:val="center"/>
        </w:trPr>
        <w:tc>
          <w:tcPr>
            <w:tcW w:w="3321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298" w:rsidRDefault="00A24629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298" w:rsidRDefault="00514298" w:rsidP="00514298">
      <w:pPr>
        <w:ind w:right="-284"/>
        <w:rPr>
          <w:b/>
          <w:caps/>
          <w:sz w:val="16"/>
          <w:szCs w:val="16"/>
        </w:rPr>
      </w:pPr>
    </w:p>
    <w:p w:rsidR="00514298" w:rsidRDefault="00514298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14298" w:rsidRDefault="00514298" w:rsidP="00514298">
      <w:pPr>
        <w:jc w:val="center"/>
        <w:rPr>
          <w:b/>
          <w:sz w:val="32"/>
          <w:szCs w:val="32"/>
        </w:rPr>
      </w:pPr>
    </w:p>
    <w:p w:rsidR="00514298" w:rsidRDefault="00514298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14298" w:rsidRDefault="00514298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514298" w:rsidRDefault="00B47724" w:rsidP="0051429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A5644" w:rsidRPr="004A5644">
        <w:rPr>
          <w:sz w:val="28"/>
          <w:szCs w:val="28"/>
        </w:rPr>
        <w:t>8</w:t>
      </w:r>
      <w:r w:rsidR="00A70034">
        <w:rPr>
          <w:sz w:val="28"/>
          <w:szCs w:val="28"/>
        </w:rPr>
        <w:t>.</w:t>
      </w:r>
      <w:r w:rsidR="00DD286D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14298">
        <w:rPr>
          <w:sz w:val="28"/>
          <w:szCs w:val="28"/>
        </w:rPr>
        <w:t>.20</w:t>
      </w:r>
      <w:r w:rsidR="001F0F5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14298">
        <w:rPr>
          <w:sz w:val="28"/>
          <w:szCs w:val="28"/>
        </w:rPr>
        <w:t xml:space="preserve"> </w:t>
      </w:r>
      <w:r w:rsidR="00514298">
        <w:rPr>
          <w:sz w:val="28"/>
          <w:szCs w:val="28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8"/>
          <w:szCs w:val="28"/>
        </w:rPr>
        <w:t>с. Гавриловка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  <w:t xml:space="preserve">     </w:t>
      </w:r>
      <w:r w:rsidR="00E2654E">
        <w:rPr>
          <w:sz w:val="28"/>
          <w:szCs w:val="28"/>
        </w:rPr>
        <w:t xml:space="preserve">   № </w:t>
      </w:r>
      <w:r>
        <w:rPr>
          <w:sz w:val="28"/>
          <w:szCs w:val="28"/>
        </w:rPr>
        <w:t>1</w:t>
      </w:r>
      <w:r w:rsidR="004A5644" w:rsidRPr="004A5644">
        <w:rPr>
          <w:sz w:val="28"/>
          <w:szCs w:val="28"/>
        </w:rPr>
        <w:t>3</w:t>
      </w:r>
      <w:r w:rsidR="00514298">
        <w:rPr>
          <w:sz w:val="28"/>
          <w:szCs w:val="28"/>
        </w:rPr>
        <w:t>-п</w:t>
      </w:r>
    </w:p>
    <w:p w:rsidR="00D1623C" w:rsidRDefault="00D1623C" w:rsidP="00D162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1623C" w:rsidRDefault="00D1623C" w:rsidP="00D162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A5644" w:rsidRPr="004A5644" w:rsidRDefault="004A5644" w:rsidP="004A5644">
      <w:pPr>
        <w:jc w:val="center"/>
        <w:rPr>
          <w:b/>
          <w:color w:val="000000"/>
          <w:sz w:val="28"/>
          <w:szCs w:val="28"/>
        </w:rPr>
      </w:pPr>
      <w:r w:rsidRPr="004A5644">
        <w:rPr>
          <w:b/>
          <w:color w:val="000000"/>
          <w:sz w:val="28"/>
          <w:szCs w:val="28"/>
        </w:rPr>
        <w:t xml:space="preserve">Об утверждении методики прогнозирования поступлений </w:t>
      </w:r>
    </w:p>
    <w:p w:rsidR="004A5644" w:rsidRPr="004A5644" w:rsidRDefault="004A5644" w:rsidP="004A5644">
      <w:pPr>
        <w:jc w:val="center"/>
        <w:rPr>
          <w:b/>
          <w:bCs/>
          <w:color w:val="000000"/>
          <w:sz w:val="28"/>
          <w:szCs w:val="28"/>
        </w:rPr>
      </w:pPr>
      <w:r w:rsidRPr="004A5644">
        <w:rPr>
          <w:b/>
          <w:color w:val="000000"/>
          <w:sz w:val="28"/>
          <w:szCs w:val="28"/>
        </w:rPr>
        <w:t>доходов в бюджет 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 w:rsidRPr="004A5644">
        <w:rPr>
          <w:b/>
          <w:color w:val="000000"/>
          <w:sz w:val="28"/>
          <w:szCs w:val="28"/>
        </w:rPr>
        <w:t xml:space="preserve">по кодам доходов, </w:t>
      </w:r>
      <w:r w:rsidRPr="004A5644">
        <w:rPr>
          <w:b/>
          <w:bCs/>
          <w:color w:val="000000"/>
          <w:sz w:val="28"/>
          <w:szCs w:val="28"/>
        </w:rPr>
        <w:t>в отношении которых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4A5644">
        <w:rPr>
          <w:b/>
          <w:bCs/>
          <w:color w:val="000000"/>
          <w:sz w:val="28"/>
          <w:szCs w:val="28"/>
        </w:rPr>
        <w:t xml:space="preserve">администрация Гавриловского сельсовета </w:t>
      </w:r>
      <w:r>
        <w:rPr>
          <w:b/>
          <w:bCs/>
          <w:color w:val="000000"/>
          <w:sz w:val="28"/>
          <w:szCs w:val="28"/>
        </w:rPr>
        <w:t xml:space="preserve">Саракташского района Оренбургской области </w:t>
      </w:r>
      <w:r w:rsidRPr="004A5644">
        <w:rPr>
          <w:b/>
          <w:bCs/>
          <w:color w:val="000000"/>
          <w:sz w:val="28"/>
          <w:szCs w:val="28"/>
        </w:rPr>
        <w:t>осуществляет</w:t>
      </w:r>
      <w:r>
        <w:rPr>
          <w:b/>
          <w:bCs/>
          <w:color w:val="000000"/>
          <w:sz w:val="28"/>
          <w:szCs w:val="28"/>
        </w:rPr>
        <w:t xml:space="preserve"> </w:t>
      </w:r>
      <w:r w:rsidRPr="004A5644">
        <w:rPr>
          <w:b/>
          <w:bCs/>
          <w:color w:val="000000"/>
          <w:sz w:val="28"/>
          <w:szCs w:val="28"/>
        </w:rPr>
        <w:t>бюджетные полномочия главного администратора доходов бюджета</w:t>
      </w:r>
    </w:p>
    <w:p w:rsidR="004A5644" w:rsidRPr="004A5644" w:rsidRDefault="004A5644" w:rsidP="004A5644">
      <w:pPr>
        <w:jc w:val="center"/>
        <w:rPr>
          <w:b/>
          <w:color w:val="000000"/>
          <w:sz w:val="28"/>
          <w:szCs w:val="28"/>
        </w:rPr>
      </w:pPr>
      <w:r w:rsidRPr="004A5644">
        <w:rPr>
          <w:b/>
          <w:bCs/>
          <w:color w:val="000000"/>
          <w:sz w:val="28"/>
          <w:szCs w:val="28"/>
        </w:rPr>
        <w:t>сельского поселения</w:t>
      </w:r>
    </w:p>
    <w:p w:rsidR="00D1623C" w:rsidRDefault="00D1623C" w:rsidP="00D162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14298" w:rsidRDefault="00514298" w:rsidP="00514298">
      <w:pPr>
        <w:jc w:val="center"/>
        <w:rPr>
          <w:sz w:val="28"/>
          <w:szCs w:val="28"/>
        </w:rPr>
      </w:pPr>
    </w:p>
    <w:p w:rsidR="004A5644" w:rsidRPr="0063089B" w:rsidRDefault="004A5644" w:rsidP="004A5644">
      <w:pPr>
        <w:ind w:firstLine="567"/>
        <w:jc w:val="both"/>
        <w:rPr>
          <w:rFonts w:eastAsia="Calibri"/>
          <w:sz w:val="28"/>
          <w:szCs w:val="28"/>
        </w:rPr>
      </w:pPr>
      <w:r w:rsidRPr="0063089B">
        <w:rPr>
          <w:color w:val="000000"/>
          <w:sz w:val="28"/>
          <w:szCs w:val="28"/>
        </w:rPr>
        <w:t>В соответствии с пунктом 1 статьи 160</w:t>
      </w:r>
      <w:r w:rsidRPr="0063089B">
        <w:rPr>
          <w:color w:val="000000"/>
          <w:sz w:val="28"/>
          <w:szCs w:val="28"/>
          <w:vertAlign w:val="superscript"/>
        </w:rPr>
        <w:t>1</w:t>
      </w:r>
      <w:r w:rsidRPr="0063089B">
        <w:rPr>
          <w:color w:val="000000"/>
          <w:sz w:val="28"/>
          <w:szCs w:val="28"/>
        </w:rPr>
        <w:t xml:space="preserve"> Бюджетного кодекса Российской Федерации, постановлением</w:t>
      </w:r>
      <w:r w:rsidRPr="0063089B">
        <w:rPr>
          <w:rFonts w:eastAsia="Calibri"/>
          <w:sz w:val="28"/>
          <w:szCs w:val="28"/>
        </w:rPr>
        <w:t xml:space="preserve"> Правительства Российской Федерации от 23.06.2016 № 574 «Об общих требованиях к методике прогнозирования поступлений доходов в бюджеты бюджетной системы Российской Федерации» (с изменениями и дополнениями): </w:t>
      </w:r>
    </w:p>
    <w:p w:rsidR="004A5644" w:rsidRPr="00CC729A" w:rsidRDefault="004A5644" w:rsidP="004A5644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C729A">
        <w:rPr>
          <w:color w:val="000000"/>
          <w:sz w:val="28"/>
          <w:szCs w:val="28"/>
        </w:rPr>
        <w:t xml:space="preserve">Утвердить методику прогнозирования поступлений доходов </w:t>
      </w:r>
      <w:r>
        <w:rPr>
          <w:color w:val="000000"/>
          <w:sz w:val="28"/>
          <w:szCs w:val="28"/>
        </w:rPr>
        <w:t xml:space="preserve">в бюджет сельского поселения </w:t>
      </w:r>
      <w:r w:rsidRPr="00CC729A">
        <w:rPr>
          <w:color w:val="000000"/>
          <w:sz w:val="28"/>
          <w:szCs w:val="28"/>
        </w:rPr>
        <w:t xml:space="preserve">по кодам доходов, </w:t>
      </w:r>
      <w:r w:rsidRPr="00CC729A">
        <w:rPr>
          <w:bCs/>
          <w:color w:val="000000"/>
          <w:sz w:val="28"/>
          <w:szCs w:val="28"/>
        </w:rPr>
        <w:t xml:space="preserve">в отношении которых </w:t>
      </w:r>
      <w:r>
        <w:rPr>
          <w:bCs/>
          <w:color w:val="000000"/>
          <w:sz w:val="28"/>
          <w:szCs w:val="28"/>
        </w:rPr>
        <w:t>а</w:t>
      </w:r>
      <w:r w:rsidRPr="00CC729A">
        <w:rPr>
          <w:bCs/>
          <w:color w:val="000000"/>
          <w:sz w:val="28"/>
          <w:szCs w:val="28"/>
        </w:rPr>
        <w:t>дминистрация</w:t>
      </w:r>
      <w:r w:rsidRPr="004A5644">
        <w:rPr>
          <w:b/>
          <w:bCs/>
          <w:color w:val="000000"/>
          <w:sz w:val="28"/>
          <w:szCs w:val="28"/>
        </w:rPr>
        <w:t xml:space="preserve"> </w:t>
      </w:r>
      <w:r w:rsidRPr="004A5644">
        <w:rPr>
          <w:bCs/>
          <w:color w:val="000000"/>
          <w:sz w:val="28"/>
          <w:szCs w:val="28"/>
        </w:rPr>
        <w:t>Гавриловского сельсовета Саракташского района Оренбургской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CC729A">
        <w:rPr>
          <w:bCs/>
          <w:color w:val="000000"/>
          <w:sz w:val="28"/>
          <w:szCs w:val="28"/>
        </w:rPr>
        <w:t>осуществляет бюджетные полномочия главного администратора доходов</w:t>
      </w:r>
      <w:r>
        <w:rPr>
          <w:bCs/>
          <w:color w:val="000000"/>
          <w:sz w:val="28"/>
          <w:szCs w:val="28"/>
        </w:rPr>
        <w:t xml:space="preserve"> бюджета сельского поселения</w:t>
      </w:r>
      <w:r w:rsidRPr="00CC729A">
        <w:rPr>
          <w:color w:val="000000"/>
          <w:sz w:val="28"/>
          <w:szCs w:val="28"/>
        </w:rPr>
        <w:t xml:space="preserve">, согласно </w:t>
      </w:r>
      <w:r w:rsidRPr="00CC729A">
        <w:rPr>
          <w:sz w:val="28"/>
          <w:szCs w:val="28"/>
          <w:bdr w:val="none" w:sz="0" w:space="0" w:color="auto" w:frame="1"/>
        </w:rPr>
        <w:t>приложению</w:t>
      </w:r>
      <w:r>
        <w:rPr>
          <w:sz w:val="28"/>
          <w:szCs w:val="28"/>
          <w:bdr w:val="none" w:sz="0" w:space="0" w:color="auto" w:frame="1"/>
        </w:rPr>
        <w:t xml:space="preserve"> к постановлению</w:t>
      </w:r>
      <w:r w:rsidRPr="00CC729A">
        <w:rPr>
          <w:sz w:val="28"/>
          <w:szCs w:val="28"/>
        </w:rPr>
        <w:t>.</w:t>
      </w:r>
    </w:p>
    <w:p w:rsidR="004A5644" w:rsidRDefault="004A5644" w:rsidP="004A5644">
      <w:pPr>
        <w:pStyle w:val="a4"/>
        <w:numPr>
          <w:ilvl w:val="0"/>
          <w:numId w:val="1"/>
        </w:numPr>
        <w:ind w:left="0" w:firstLine="567"/>
        <w:jc w:val="both"/>
      </w:pPr>
      <w:r w:rsidRPr="00744C09">
        <w:rPr>
          <w:sz w:val="28"/>
          <w:szCs w:val="28"/>
        </w:rPr>
        <w:t xml:space="preserve">В случаях внесения изменений в законодательные и иные нормативные правовые акты Российской Федерации, Оренбургской области, а также в нормативные правовые акты представительного органа  </w:t>
      </w:r>
      <w:r>
        <w:rPr>
          <w:sz w:val="28"/>
          <w:szCs w:val="28"/>
        </w:rPr>
        <w:t>Саракташского</w:t>
      </w:r>
      <w:r w:rsidRPr="00744C09">
        <w:rPr>
          <w:sz w:val="28"/>
          <w:szCs w:val="28"/>
        </w:rPr>
        <w:t xml:space="preserve"> района в части формирования и прогнозирования доходов бюджета сельского поселения, разрабатывать и утверждать по согласованию с финансовым отделом администрации Са</w:t>
      </w:r>
      <w:r>
        <w:rPr>
          <w:sz w:val="28"/>
          <w:szCs w:val="28"/>
        </w:rPr>
        <w:t>ракташского</w:t>
      </w:r>
      <w:r w:rsidRPr="00744C09">
        <w:rPr>
          <w:sz w:val="28"/>
          <w:szCs w:val="28"/>
        </w:rPr>
        <w:t xml:space="preserve"> района правовые акты о внесении изменений в методику </w:t>
      </w:r>
      <w:r w:rsidRPr="00744C09">
        <w:rPr>
          <w:color w:val="000000"/>
          <w:sz w:val="28"/>
          <w:szCs w:val="28"/>
        </w:rPr>
        <w:t>прогнозирования поступлений доходов в бюджет сельского поселения</w:t>
      </w:r>
      <w:r w:rsidRPr="00744C09">
        <w:rPr>
          <w:sz w:val="28"/>
          <w:szCs w:val="28"/>
        </w:rPr>
        <w:t>,утвержденную пунктом 1</w:t>
      </w:r>
      <w:r>
        <w:rPr>
          <w:sz w:val="28"/>
          <w:szCs w:val="28"/>
        </w:rPr>
        <w:t xml:space="preserve"> постановления,</w:t>
      </w:r>
      <w:r w:rsidRPr="00744C09">
        <w:rPr>
          <w:sz w:val="28"/>
          <w:szCs w:val="28"/>
        </w:rPr>
        <w:t xml:space="preserve">  в 2-месячный срок после вступления соответствующих изменений в силу</w:t>
      </w:r>
      <w:r>
        <w:t>.</w:t>
      </w:r>
    </w:p>
    <w:p w:rsidR="00441F37" w:rsidRPr="00C35427" w:rsidRDefault="004A5644" w:rsidP="0069210D">
      <w:pPr>
        <w:pStyle w:val="a4"/>
        <w:numPr>
          <w:ilvl w:val="0"/>
          <w:numId w:val="1"/>
        </w:numPr>
        <w:ind w:left="0" w:right="15" w:firstLine="0"/>
        <w:jc w:val="both"/>
        <w:rPr>
          <w:color w:val="000000"/>
          <w:sz w:val="28"/>
          <w:szCs w:val="28"/>
        </w:rPr>
      </w:pPr>
      <w:r w:rsidRPr="000C6520">
        <w:rPr>
          <w:sz w:val="28"/>
          <w:szCs w:val="28"/>
        </w:rPr>
        <w:t>Постановление вступает в силу с</w:t>
      </w:r>
      <w:r w:rsidR="00BC1B62">
        <w:rPr>
          <w:sz w:val="28"/>
          <w:szCs w:val="28"/>
        </w:rPr>
        <w:t>о дня</w:t>
      </w:r>
      <w:r w:rsidRPr="000C6520">
        <w:rPr>
          <w:sz w:val="28"/>
          <w:szCs w:val="28"/>
        </w:rPr>
        <w:t xml:space="preserve"> его подписания и </w:t>
      </w:r>
      <w:r w:rsidR="00C35427">
        <w:rPr>
          <w:sz w:val="28"/>
          <w:szCs w:val="28"/>
        </w:rPr>
        <w:t xml:space="preserve">подлежит размещению на официальном сайте администрации </w:t>
      </w:r>
      <w:r w:rsidR="00BC1B62" w:rsidRPr="000C6520">
        <w:rPr>
          <w:sz w:val="28"/>
          <w:szCs w:val="28"/>
        </w:rPr>
        <w:t>муниципального образования</w:t>
      </w:r>
      <w:r w:rsidR="00441F37">
        <w:rPr>
          <w:sz w:val="28"/>
          <w:szCs w:val="28"/>
        </w:rPr>
        <w:t xml:space="preserve"> Гавриловский сельсовет Саракташского района Оренбургской области.</w:t>
      </w:r>
    </w:p>
    <w:p w:rsidR="00C35427" w:rsidRDefault="00C35427" w:rsidP="00C35427">
      <w:pPr>
        <w:pStyle w:val="a4"/>
        <w:ind w:right="15"/>
        <w:jc w:val="both"/>
        <w:rPr>
          <w:sz w:val="28"/>
          <w:szCs w:val="28"/>
        </w:rPr>
      </w:pPr>
    </w:p>
    <w:p w:rsidR="00C35427" w:rsidRDefault="00C35427" w:rsidP="00C35427">
      <w:pPr>
        <w:pStyle w:val="a4"/>
        <w:ind w:right="15"/>
        <w:jc w:val="both"/>
        <w:rPr>
          <w:sz w:val="28"/>
          <w:szCs w:val="28"/>
        </w:rPr>
      </w:pPr>
    </w:p>
    <w:p w:rsidR="00C35427" w:rsidRPr="00441F37" w:rsidRDefault="00C35427" w:rsidP="00C35427">
      <w:pPr>
        <w:pStyle w:val="a4"/>
        <w:ind w:right="15"/>
        <w:jc w:val="both"/>
        <w:rPr>
          <w:color w:val="000000"/>
          <w:sz w:val="28"/>
          <w:szCs w:val="28"/>
        </w:rPr>
      </w:pPr>
    </w:p>
    <w:p w:rsidR="00441F37" w:rsidRPr="001071F1" w:rsidRDefault="00441F37" w:rsidP="00441F37">
      <w:pPr>
        <w:numPr>
          <w:ilvl w:val="0"/>
          <w:numId w:val="1"/>
        </w:numPr>
        <w:shd w:val="clear" w:color="auto" w:fill="FFFFFF"/>
        <w:ind w:left="0" w:right="465" w:firstLine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Контроль за исполнением настоящего  постановления оставляю за собой.</w:t>
      </w:r>
    </w:p>
    <w:p w:rsidR="00BC1B62" w:rsidRPr="000C6520" w:rsidRDefault="00BC1B62" w:rsidP="00441F37">
      <w:pPr>
        <w:pStyle w:val="a4"/>
        <w:ind w:left="0" w:right="15"/>
        <w:jc w:val="both"/>
        <w:rPr>
          <w:color w:val="000000"/>
          <w:sz w:val="28"/>
          <w:szCs w:val="28"/>
        </w:rPr>
      </w:pPr>
      <w:r w:rsidRPr="000C6520">
        <w:rPr>
          <w:sz w:val="28"/>
          <w:szCs w:val="28"/>
        </w:rPr>
        <w:t xml:space="preserve">  </w:t>
      </w:r>
    </w:p>
    <w:p w:rsidR="004A5644" w:rsidRPr="000C6520" w:rsidRDefault="00C35427" w:rsidP="00C3542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0A41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Гавриловск</w:t>
      </w:r>
      <w:r w:rsidR="00C35427">
        <w:rPr>
          <w:color w:val="000000"/>
          <w:spacing w:val="-2"/>
          <w:w w:val="106"/>
          <w:sz w:val="28"/>
          <w:szCs w:val="28"/>
        </w:rPr>
        <w:t>ий</w:t>
      </w:r>
      <w:r w:rsidR="009D2965">
        <w:rPr>
          <w:color w:val="000000"/>
          <w:spacing w:val="-2"/>
          <w:w w:val="106"/>
          <w:sz w:val="28"/>
          <w:szCs w:val="28"/>
        </w:rPr>
        <w:t xml:space="preserve"> сельсовет     </w:t>
      </w:r>
      <w:r>
        <w:rPr>
          <w:color w:val="000000"/>
          <w:spacing w:val="-2"/>
          <w:w w:val="106"/>
          <w:sz w:val="28"/>
          <w:szCs w:val="28"/>
        </w:rPr>
        <w:t xml:space="preserve">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                                  </w:t>
      </w:r>
      <w:r w:rsidR="00DC50CC">
        <w:rPr>
          <w:color w:val="000000"/>
          <w:spacing w:val="-2"/>
          <w:w w:val="106"/>
          <w:sz w:val="28"/>
          <w:szCs w:val="28"/>
        </w:rPr>
        <w:t xml:space="preserve">  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</w:t>
      </w:r>
      <w:r w:rsidR="00B65C1F">
        <w:rPr>
          <w:color w:val="000000"/>
          <w:spacing w:val="-2"/>
          <w:w w:val="106"/>
          <w:sz w:val="28"/>
          <w:szCs w:val="28"/>
        </w:rPr>
        <w:t xml:space="preserve">   </w:t>
      </w:r>
      <w:r w:rsidR="00B01681">
        <w:rPr>
          <w:color w:val="000000"/>
          <w:spacing w:val="-2"/>
          <w:w w:val="106"/>
          <w:sz w:val="28"/>
          <w:szCs w:val="28"/>
        </w:rPr>
        <w:t xml:space="preserve">     </w:t>
      </w:r>
      <w:r w:rsidR="009D2965">
        <w:rPr>
          <w:color w:val="000000"/>
          <w:spacing w:val="-2"/>
          <w:w w:val="106"/>
          <w:sz w:val="28"/>
          <w:szCs w:val="28"/>
        </w:rPr>
        <w:t>Е.И. Варламова</w:t>
      </w: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542A32" w:rsidRDefault="00542A32" w:rsidP="00441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32" w:rsidRDefault="00542A32" w:rsidP="00441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32" w:rsidRDefault="00542A32" w:rsidP="00441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32" w:rsidRDefault="00542A32" w:rsidP="00441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32" w:rsidRDefault="00542A32" w:rsidP="00542A32">
      <w:pPr>
        <w:tabs>
          <w:tab w:val="left" w:pos="5670"/>
        </w:tabs>
        <w:ind w:left="567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t xml:space="preserve">Приложение к </w:t>
      </w:r>
    </w:p>
    <w:p w:rsidR="00542A32" w:rsidRDefault="00542A32" w:rsidP="00542A32">
      <w:pPr>
        <w:tabs>
          <w:tab w:val="left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82B2D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</w:t>
      </w:r>
      <w:r w:rsidRPr="00882B2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Гаврило</w:t>
      </w:r>
      <w:r w:rsidRPr="00882B2D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Pr="00882B2D">
        <w:rPr>
          <w:sz w:val="28"/>
          <w:szCs w:val="28"/>
        </w:rPr>
        <w:t xml:space="preserve"> сельсовета</w:t>
      </w:r>
    </w:p>
    <w:p w:rsidR="00542A32" w:rsidRDefault="00542A32" w:rsidP="00542A32">
      <w:pPr>
        <w:tabs>
          <w:tab w:val="left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42A32" w:rsidRPr="00882B2D" w:rsidRDefault="00542A32" w:rsidP="00542A32">
      <w:pPr>
        <w:tabs>
          <w:tab w:val="left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42A32" w:rsidRDefault="00542A32" w:rsidP="00542A32">
      <w:pPr>
        <w:tabs>
          <w:tab w:val="left" w:pos="5670"/>
        </w:tabs>
        <w:ind w:left="567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</w:t>
      </w:r>
      <w:r w:rsidRPr="00882B2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82B2D">
        <w:rPr>
          <w:sz w:val="28"/>
          <w:szCs w:val="28"/>
        </w:rPr>
        <w:t>.20</w:t>
      </w:r>
      <w:r>
        <w:rPr>
          <w:sz w:val="28"/>
          <w:szCs w:val="28"/>
        </w:rPr>
        <w:t>22 № 13-п</w:t>
      </w:r>
    </w:p>
    <w:p w:rsidR="00542A32" w:rsidRDefault="00542A32" w:rsidP="00441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37" w:rsidRPr="00267240" w:rsidRDefault="00441F37" w:rsidP="00441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41F37" w:rsidRPr="00267240" w:rsidRDefault="00441F37" w:rsidP="00441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бюджет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42A32">
        <w:rPr>
          <w:rFonts w:ascii="Times New Roman" w:hAnsi="Times New Roman" w:cs="Times New Roman"/>
          <w:b/>
          <w:sz w:val="28"/>
          <w:szCs w:val="28"/>
        </w:rPr>
        <w:t xml:space="preserve"> Гавриловский </w:t>
      </w:r>
      <w:r>
        <w:rPr>
          <w:rFonts w:ascii="Times New Roman" w:hAnsi="Times New Roman" w:cs="Times New Roman"/>
          <w:b/>
          <w:sz w:val="28"/>
          <w:szCs w:val="28"/>
        </w:rPr>
        <w:t>сельсоветСаракташского</w:t>
      </w:r>
      <w:r w:rsidR="00542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40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6724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бюджетные полномочия главного администратора по которым осуществляет </w:t>
      </w:r>
      <w:r w:rsidR="00542A32">
        <w:rPr>
          <w:rFonts w:ascii="Times New Roman" w:hAnsi="Times New Roman" w:cs="Times New Roman"/>
          <w:b/>
          <w:sz w:val="28"/>
          <w:szCs w:val="28"/>
        </w:rPr>
        <w:t>а</w:t>
      </w:r>
      <w:r w:rsidRPr="00267240">
        <w:rPr>
          <w:rFonts w:ascii="Times New Roman" w:hAnsi="Times New Roman" w:cs="Times New Roman"/>
          <w:b/>
          <w:sz w:val="28"/>
          <w:szCs w:val="28"/>
        </w:rPr>
        <w:t>дминистрация муниципального</w:t>
      </w:r>
      <w:r w:rsidR="00542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A32" w:rsidRPr="00542A32">
        <w:rPr>
          <w:rFonts w:ascii="Times New Roman" w:hAnsi="Times New Roman" w:cs="Times New Roman"/>
          <w:b/>
          <w:sz w:val="28"/>
          <w:szCs w:val="28"/>
        </w:rPr>
        <w:t>о</w:t>
      </w:r>
      <w:r w:rsidRPr="00542A32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542A32" w:rsidRPr="00542A32">
        <w:rPr>
          <w:rFonts w:ascii="Times New Roman" w:hAnsi="Times New Roman" w:cs="Times New Roman"/>
          <w:b/>
          <w:sz w:val="28"/>
          <w:szCs w:val="28"/>
        </w:rPr>
        <w:t xml:space="preserve">  Гаврилов</w:t>
      </w:r>
      <w:r w:rsidRPr="00542A32">
        <w:rPr>
          <w:rFonts w:ascii="Times New Roman" w:hAnsi="Times New Roman" w:cs="Times New Roman"/>
          <w:b/>
          <w:sz w:val="28"/>
          <w:szCs w:val="28"/>
        </w:rPr>
        <w:t>ский</w:t>
      </w:r>
      <w:r w:rsidR="00542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542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="005F3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40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6724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441F37" w:rsidRDefault="00441F37" w:rsidP="00441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37" w:rsidRDefault="00441F37" w:rsidP="00441F3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1F37" w:rsidRDefault="00441F37" w:rsidP="00441F37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41F37" w:rsidRDefault="00441F37" w:rsidP="00441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1.1.Настоящая методика прогнозирования поступлений доходов в бюджет муниципального образования</w:t>
      </w:r>
      <w:r w:rsidR="00542A32">
        <w:rPr>
          <w:rFonts w:ascii="Times New Roman" w:hAnsi="Times New Roman" w:cs="Times New Roman"/>
          <w:sz w:val="28"/>
          <w:szCs w:val="28"/>
        </w:rPr>
        <w:t xml:space="preserve"> Гаврило</w:t>
      </w:r>
      <w:r w:rsidRPr="00542A32">
        <w:rPr>
          <w:rFonts w:ascii="Times New Roman" w:hAnsi="Times New Roman" w:cs="Times New Roman"/>
          <w:sz w:val="28"/>
          <w:szCs w:val="28"/>
        </w:rPr>
        <w:t>вский</w:t>
      </w:r>
      <w:r w:rsidR="00542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542A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="00542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области, администрируемых Администрацией муниципального образования </w:t>
      </w:r>
      <w:r w:rsidR="00966953" w:rsidRPr="00966953">
        <w:rPr>
          <w:rFonts w:ascii="Times New Roman" w:hAnsi="Times New Roman" w:cs="Times New Roman"/>
          <w:sz w:val="28"/>
          <w:szCs w:val="28"/>
        </w:rPr>
        <w:t>Гаврило</w:t>
      </w:r>
      <w:r w:rsidRPr="00966953">
        <w:rPr>
          <w:rFonts w:ascii="Times New Roman" w:hAnsi="Times New Roman" w:cs="Times New Roman"/>
          <w:sz w:val="28"/>
          <w:szCs w:val="28"/>
        </w:rPr>
        <w:t>вский</w:t>
      </w:r>
      <w:r w:rsidR="0096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96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="0096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  (далее –администрация), разработана на основании статьи 160.1 Бюджетного кодекса Российской Федерации и 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 реализации администрацией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год, очередной финансовый год и плановый период.</w:t>
      </w:r>
    </w:p>
    <w:p w:rsidR="00441F37" w:rsidRDefault="00441F37" w:rsidP="00441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 Прогнозирование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 Министерством финансов Российской Федерации, в разрезе видов доходных источников, закрепленных за</w:t>
      </w:r>
      <w:r w:rsidR="00C3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постановлением администрации муниципального образования </w:t>
      </w:r>
      <w:r w:rsidR="00966953" w:rsidRPr="00966953">
        <w:rPr>
          <w:rFonts w:ascii="Times New Roman" w:hAnsi="Times New Roman" w:cs="Times New Roman"/>
          <w:sz w:val="28"/>
          <w:szCs w:val="28"/>
        </w:rPr>
        <w:t>Гаврил</w:t>
      </w:r>
      <w:r w:rsidRPr="00966953">
        <w:rPr>
          <w:rFonts w:ascii="Times New Roman" w:hAnsi="Times New Roman" w:cs="Times New Roman"/>
          <w:sz w:val="28"/>
          <w:szCs w:val="28"/>
        </w:rPr>
        <w:t>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441F37" w:rsidRDefault="00441F37" w:rsidP="00441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Прогнозирование администрацией доходов может осуществляться следующими методами или комбинациями методов:</w:t>
      </w:r>
    </w:p>
    <w:p w:rsidR="00441F37" w:rsidRDefault="00441F37" w:rsidP="00441F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41F37" w:rsidRPr="00C35427" w:rsidRDefault="00441F37" w:rsidP="00441F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усреднение - расчет на основании усреднения годовых объемов </w:t>
      </w:r>
      <w:r w:rsidRPr="00C35427">
        <w:rPr>
          <w:sz w:val="28"/>
          <w:szCs w:val="28"/>
        </w:rPr>
        <w:t xml:space="preserve">доходов бюджетов бюджетной системы Российской Федерации не менее чем за 3 года или за весь период поступления соответствующего вида доходов в </w:t>
      </w:r>
      <w:r w:rsidRPr="00C35427">
        <w:rPr>
          <w:sz w:val="28"/>
          <w:szCs w:val="28"/>
        </w:rPr>
        <w:lastRenderedPageBreak/>
        <w:t>случае, если он не превышает 3 года;</w:t>
      </w:r>
    </w:p>
    <w:p w:rsidR="00441F37" w:rsidRDefault="00441F37" w:rsidP="00441F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441F37" w:rsidRDefault="00441F37" w:rsidP="00441F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441F37" w:rsidRDefault="00441F37" w:rsidP="00966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иной способ.</w:t>
      </w:r>
    </w:p>
    <w:p w:rsidR="00441F37" w:rsidRDefault="00441F37" w:rsidP="009669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Правительства области, местной администрации.</w:t>
      </w:r>
    </w:p>
    <w:p w:rsidR="00441F37" w:rsidRDefault="00441F37" w:rsidP="009669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441F37" w:rsidRDefault="00441F37" w:rsidP="00966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Прогнозирование поступлений доходов в местный бюджет в виде безвозмездных поступлений от других бюджетов бюджетной системы Российской Федерации осуществляется на основании нормативных правовых актов (проектов нормативных правовых актов о распределении межбюджетных трансфертов местному бюджету из бюджетов бюджетной системы Российской Федерации и (или) объемов безвозмездных поступлений от других бюджетов бюджетной системы Российской Федерации, утвержденных законом Оренбургской области об областном бюджете (проектом закона) решением о районном бюджете (проектом решения).</w:t>
      </w:r>
    </w:p>
    <w:p w:rsidR="00441F37" w:rsidRDefault="00441F37" w:rsidP="00441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течении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</w:t>
      </w:r>
      <w:r w:rsidR="0096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превышения (уменьшения) фактического объема их поступления.</w:t>
      </w:r>
    </w:p>
    <w:p w:rsidR="00441F37" w:rsidRDefault="00441F37" w:rsidP="00441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расчете прогнозируемого объема поступлений доходов в соответствии с настоящей Методикой не учитываются фактические поступления, имеющие несистемный, разовый характер.</w:t>
      </w:r>
    </w:p>
    <w:p w:rsidR="00441F37" w:rsidRDefault="00441F37" w:rsidP="00441F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Поступление доходов от возврата остатков субсидий, субвенций и иных межбюджетных трансфертов и возврат остатков, имеющих целевое назначение, прошлых лет имеют несистемный характер и относятся к категории не поддающихся объективному прогнозированию.</w:t>
      </w:r>
    </w:p>
    <w:p w:rsidR="00441F37" w:rsidRDefault="00441F37" w:rsidP="00441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37" w:rsidRDefault="00441F37" w:rsidP="00441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37" w:rsidRPr="00267240" w:rsidRDefault="00441F37" w:rsidP="00441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37" w:rsidRDefault="00441F37" w:rsidP="00441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41F37" w:rsidSect="00F67BA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F34A2" w:rsidRDefault="00441F37" w:rsidP="005F34A2">
      <w:pPr>
        <w:jc w:val="right"/>
        <w:outlineLvl w:val="1"/>
        <w:rPr>
          <w:sz w:val="28"/>
          <w:szCs w:val="28"/>
        </w:rPr>
      </w:pPr>
      <w:r w:rsidRPr="00966953">
        <w:rPr>
          <w:sz w:val="28"/>
          <w:szCs w:val="28"/>
        </w:rPr>
        <w:lastRenderedPageBreak/>
        <w:t>Приложение</w:t>
      </w:r>
      <w:r w:rsidR="00966953" w:rsidRPr="00966953">
        <w:rPr>
          <w:sz w:val="28"/>
          <w:szCs w:val="28"/>
        </w:rPr>
        <w:t xml:space="preserve"> </w:t>
      </w:r>
      <w:bookmarkStart w:id="0" w:name="_GoBack"/>
      <w:bookmarkEnd w:id="0"/>
      <w:r w:rsidRPr="00966953">
        <w:rPr>
          <w:sz w:val="28"/>
          <w:szCs w:val="28"/>
        </w:rPr>
        <w:t>к методике</w:t>
      </w:r>
      <w:r w:rsidR="005F34A2">
        <w:rPr>
          <w:sz w:val="28"/>
          <w:szCs w:val="28"/>
        </w:rPr>
        <w:t xml:space="preserve"> </w:t>
      </w:r>
      <w:r w:rsidR="00966953" w:rsidRPr="00966953">
        <w:rPr>
          <w:sz w:val="28"/>
          <w:szCs w:val="28"/>
        </w:rPr>
        <w:t>прогнозирования поступлений доходов</w:t>
      </w:r>
    </w:p>
    <w:p w:rsidR="005F34A2" w:rsidRDefault="00966953" w:rsidP="005F34A2">
      <w:pPr>
        <w:jc w:val="right"/>
        <w:outlineLvl w:val="1"/>
        <w:rPr>
          <w:sz w:val="28"/>
          <w:szCs w:val="28"/>
        </w:rPr>
      </w:pPr>
      <w:r w:rsidRPr="00966953">
        <w:rPr>
          <w:sz w:val="28"/>
          <w:szCs w:val="28"/>
        </w:rPr>
        <w:t xml:space="preserve"> в бюджет муниципального образования Гавриловский сельсовет</w:t>
      </w:r>
      <w:r w:rsidR="005F34A2">
        <w:rPr>
          <w:sz w:val="28"/>
          <w:szCs w:val="28"/>
        </w:rPr>
        <w:t xml:space="preserve"> </w:t>
      </w:r>
    </w:p>
    <w:p w:rsidR="005F34A2" w:rsidRDefault="00966953" w:rsidP="005F34A2">
      <w:pPr>
        <w:jc w:val="right"/>
        <w:outlineLvl w:val="1"/>
        <w:rPr>
          <w:sz w:val="28"/>
          <w:szCs w:val="28"/>
        </w:rPr>
      </w:pPr>
      <w:r w:rsidRPr="00966953">
        <w:rPr>
          <w:sz w:val="28"/>
          <w:szCs w:val="28"/>
        </w:rPr>
        <w:t xml:space="preserve">Саракташского района Оренбургской области, бюджетные полномочия </w:t>
      </w:r>
    </w:p>
    <w:p w:rsidR="005F34A2" w:rsidRDefault="00966953" w:rsidP="005F34A2">
      <w:pPr>
        <w:jc w:val="right"/>
        <w:outlineLvl w:val="1"/>
        <w:rPr>
          <w:sz w:val="28"/>
          <w:szCs w:val="28"/>
        </w:rPr>
      </w:pPr>
      <w:r w:rsidRPr="00966953">
        <w:rPr>
          <w:sz w:val="28"/>
          <w:szCs w:val="28"/>
        </w:rPr>
        <w:t xml:space="preserve">главного администратора по которым осуществляет администрация </w:t>
      </w:r>
    </w:p>
    <w:p w:rsidR="005F34A2" w:rsidRDefault="00966953" w:rsidP="005F34A2">
      <w:pPr>
        <w:jc w:val="right"/>
        <w:outlineLvl w:val="1"/>
        <w:rPr>
          <w:sz w:val="28"/>
          <w:szCs w:val="28"/>
        </w:rPr>
      </w:pPr>
      <w:r w:rsidRPr="00966953">
        <w:rPr>
          <w:sz w:val="28"/>
          <w:szCs w:val="28"/>
        </w:rPr>
        <w:t xml:space="preserve">муниципального образования  Гавриловский сельсовет </w:t>
      </w:r>
    </w:p>
    <w:p w:rsidR="00966953" w:rsidRPr="00966953" w:rsidRDefault="00966953" w:rsidP="005F34A2">
      <w:pPr>
        <w:jc w:val="right"/>
        <w:outlineLvl w:val="1"/>
        <w:rPr>
          <w:sz w:val="28"/>
          <w:szCs w:val="28"/>
        </w:rPr>
      </w:pPr>
      <w:r w:rsidRPr="00966953">
        <w:rPr>
          <w:sz w:val="28"/>
          <w:szCs w:val="28"/>
        </w:rPr>
        <w:t>Саракташского</w:t>
      </w:r>
      <w:r w:rsidR="005F34A2">
        <w:rPr>
          <w:sz w:val="28"/>
          <w:szCs w:val="28"/>
        </w:rPr>
        <w:t xml:space="preserve"> </w:t>
      </w:r>
      <w:r w:rsidRPr="00966953">
        <w:rPr>
          <w:sz w:val="28"/>
          <w:szCs w:val="28"/>
        </w:rPr>
        <w:t>района</w:t>
      </w:r>
      <w:r w:rsidR="005F34A2">
        <w:rPr>
          <w:sz w:val="28"/>
          <w:szCs w:val="28"/>
        </w:rPr>
        <w:t xml:space="preserve"> </w:t>
      </w:r>
      <w:r w:rsidRPr="00966953">
        <w:rPr>
          <w:sz w:val="28"/>
          <w:szCs w:val="28"/>
        </w:rPr>
        <w:t>Оренбургской области</w:t>
      </w:r>
    </w:p>
    <w:p w:rsidR="00441F37" w:rsidRDefault="00441F37" w:rsidP="00441F37">
      <w:pPr>
        <w:pStyle w:val="ConsPlusNormal"/>
        <w:jc w:val="right"/>
        <w:rPr>
          <w:color w:val="FF0000"/>
          <w:sz w:val="24"/>
          <w:szCs w:val="24"/>
        </w:rPr>
      </w:pPr>
    </w:p>
    <w:p w:rsidR="00441F37" w:rsidRDefault="00441F37" w:rsidP="00441F37">
      <w:pPr>
        <w:pStyle w:val="ConsPlusNormal"/>
        <w:rPr>
          <w:color w:val="FF0000"/>
          <w:sz w:val="24"/>
          <w:szCs w:val="24"/>
        </w:rPr>
      </w:pPr>
    </w:p>
    <w:tbl>
      <w:tblPr>
        <w:tblW w:w="153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1843"/>
        <w:gridCol w:w="1984"/>
        <w:gridCol w:w="2126"/>
        <w:gridCol w:w="851"/>
        <w:gridCol w:w="1135"/>
        <w:gridCol w:w="2977"/>
        <w:gridCol w:w="3544"/>
      </w:tblGrid>
      <w:tr w:rsidR="00441F37" w:rsidRPr="009F1F1D" w:rsidTr="00F67BA0">
        <w:tc>
          <w:tcPr>
            <w:tcW w:w="346" w:type="dxa"/>
          </w:tcPr>
          <w:p w:rsidR="00441F37" w:rsidRPr="009F1F1D" w:rsidRDefault="00441F37" w:rsidP="00F6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67" w:type="dxa"/>
          </w:tcPr>
          <w:p w:rsidR="00441F37" w:rsidRPr="009F1F1D" w:rsidRDefault="00441F37" w:rsidP="00F6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Код главного администратора доходов</w:t>
            </w:r>
          </w:p>
        </w:tc>
        <w:tc>
          <w:tcPr>
            <w:tcW w:w="1843" w:type="dxa"/>
          </w:tcPr>
          <w:p w:rsidR="00441F37" w:rsidRPr="009F1F1D" w:rsidRDefault="00441F37" w:rsidP="00F6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984" w:type="dxa"/>
          </w:tcPr>
          <w:p w:rsidR="00441F37" w:rsidRPr="009F1F1D" w:rsidRDefault="00441F37" w:rsidP="00F6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КБК </w:t>
            </w:r>
            <w:hyperlink w:anchor="P185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441F37" w:rsidRPr="009F1F1D" w:rsidRDefault="00441F37" w:rsidP="00F6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851" w:type="dxa"/>
          </w:tcPr>
          <w:p w:rsidR="00441F37" w:rsidRPr="009F1F1D" w:rsidRDefault="00441F37" w:rsidP="00F6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Наименование метода расчета </w:t>
            </w:r>
            <w:hyperlink w:anchor="P186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5" w:type="dxa"/>
          </w:tcPr>
          <w:p w:rsidR="00441F37" w:rsidRPr="009F1F1D" w:rsidRDefault="00441F37" w:rsidP="00F6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Формула расчета </w:t>
            </w:r>
            <w:hyperlink w:anchor="P187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977" w:type="dxa"/>
          </w:tcPr>
          <w:p w:rsidR="00441F37" w:rsidRPr="009F1F1D" w:rsidRDefault="00441F37" w:rsidP="00F6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Алгоритм расчета </w:t>
            </w:r>
            <w:hyperlink w:anchor="P188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544" w:type="dxa"/>
          </w:tcPr>
          <w:p w:rsidR="00441F37" w:rsidRPr="009F1F1D" w:rsidRDefault="00441F37" w:rsidP="00F67BA0">
            <w:pPr>
              <w:pStyle w:val="ConsPlusNormal"/>
              <w:ind w:left="504" w:hanging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Описание показателей </w:t>
            </w:r>
            <w:hyperlink w:anchor="P189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67" w:type="dxa"/>
          </w:tcPr>
          <w:p w:rsidR="00441F37" w:rsidRPr="00BA041C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BA041C" w:rsidRDefault="00441F37" w:rsidP="005F34A2">
            <w:pPr>
              <w:jc w:val="both"/>
            </w:pPr>
            <w:r w:rsidRPr="00BA041C">
              <w:t xml:space="preserve">Администрация </w:t>
            </w:r>
            <w:r w:rsidR="005F34A2">
              <w:t>м</w:t>
            </w:r>
            <w:r w:rsidRPr="00BA041C">
              <w:t xml:space="preserve">униципального образования                                  </w:t>
            </w:r>
            <w:r w:rsidR="005F34A2">
              <w:t>Гаврил</w:t>
            </w:r>
            <w:r w:rsidRPr="005F34A2">
              <w:t>овский</w:t>
            </w:r>
            <w:r w:rsidR="005F34A2">
              <w:t xml:space="preserve"> </w:t>
            </w:r>
            <w:r w:rsidRPr="00BA041C">
              <w:t>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10804020011000110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Пгос = Ож + (-) Д,</w:t>
            </w: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3544" w:type="dxa"/>
          </w:tcPr>
          <w:p w:rsidR="00441F37" w:rsidRPr="00BA041C" w:rsidRDefault="00441F37" w:rsidP="00F67BA0">
            <w:pPr>
              <w:spacing w:after="150" w:line="238" w:lineRule="atLeast"/>
              <w:rPr>
                <w:color w:val="242424"/>
              </w:rPr>
            </w:pPr>
            <w:r w:rsidRPr="00BA041C">
              <w:rPr>
                <w:i/>
                <w:iCs/>
                <w:color w:val="242424"/>
              </w:rPr>
              <w:t>Пгос - </w:t>
            </w:r>
            <w:r w:rsidRPr="00BA041C">
              <w:rPr>
                <w:color w:val="242424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441F37" w:rsidRPr="00BA041C" w:rsidRDefault="00441F37" w:rsidP="00F67BA0">
            <w:pPr>
              <w:spacing w:after="150" w:line="238" w:lineRule="atLeast"/>
              <w:rPr>
                <w:color w:val="242424"/>
              </w:rPr>
            </w:pPr>
            <w:r w:rsidRPr="00BA041C">
              <w:rPr>
                <w:i/>
                <w:iCs/>
                <w:color w:val="242424"/>
              </w:rPr>
              <w:t>Ож – </w:t>
            </w:r>
            <w:r w:rsidRPr="00BA041C">
              <w:rPr>
                <w:color w:val="242424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441F37" w:rsidRPr="00BA041C" w:rsidRDefault="00441F37" w:rsidP="00F67BA0">
            <w:r w:rsidRPr="00BA041C">
              <w:rPr>
                <w:i/>
                <w:iCs/>
                <w:color w:val="242424"/>
              </w:rPr>
              <w:t>Д - </w:t>
            </w:r>
            <w:r w:rsidRPr="00BA041C">
              <w:rPr>
                <w:color w:val="242424"/>
              </w:rPr>
              <w:t>дополнительные (+) 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10807175011000110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Пгос = Ож + (-) Д,</w:t>
            </w: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3544" w:type="dxa"/>
          </w:tcPr>
          <w:p w:rsidR="00441F37" w:rsidRPr="00BA041C" w:rsidRDefault="00441F37" w:rsidP="00F67BA0">
            <w:pPr>
              <w:spacing w:after="150" w:line="238" w:lineRule="atLeast"/>
              <w:rPr>
                <w:color w:val="242424"/>
              </w:rPr>
            </w:pPr>
            <w:r w:rsidRPr="00BA041C">
              <w:rPr>
                <w:i/>
                <w:iCs/>
                <w:color w:val="242424"/>
              </w:rPr>
              <w:t>Пгос - </w:t>
            </w:r>
            <w:r w:rsidRPr="00BA041C">
              <w:rPr>
                <w:color w:val="242424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441F37" w:rsidRPr="00BA041C" w:rsidRDefault="00441F37" w:rsidP="00F67BA0">
            <w:pPr>
              <w:spacing w:after="150" w:line="238" w:lineRule="atLeast"/>
              <w:rPr>
                <w:color w:val="242424"/>
              </w:rPr>
            </w:pPr>
            <w:r w:rsidRPr="00BA041C">
              <w:rPr>
                <w:i/>
                <w:iCs/>
                <w:color w:val="242424"/>
              </w:rPr>
              <w:t>Ож – </w:t>
            </w:r>
            <w:r w:rsidRPr="00BA041C">
              <w:rPr>
                <w:color w:val="242424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Д -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</w:rPr>
              <w:t>дополнительные (+) 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3.</w:t>
            </w:r>
          </w:p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11105025100000120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Аим=</w:t>
            </w:r>
            <w:r w:rsidRPr="00BA041C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A041C">
              <w:rPr>
                <w:rFonts w:ascii="Times New Roman" w:hAnsi="Times New Roman" w:cs="Times New Roman"/>
                <w:sz w:val="20"/>
              </w:rPr>
              <w:t>об*Апл*Кин</w:t>
            </w:r>
          </w:p>
        </w:tc>
        <w:tc>
          <w:tcPr>
            <w:tcW w:w="2977" w:type="dxa"/>
          </w:tcPr>
          <w:p w:rsidR="00441F37" w:rsidRPr="00BA041C" w:rsidRDefault="00441F37" w:rsidP="00F67BA0">
            <w:pPr>
              <w:spacing w:line="256" w:lineRule="auto"/>
            </w:pPr>
            <w:r w:rsidRPr="00BA041C"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441F37" w:rsidRPr="00BA041C" w:rsidRDefault="00441F37" w:rsidP="00F67BA0">
            <w:pPr>
              <w:spacing w:line="256" w:lineRule="auto"/>
            </w:pPr>
            <w:r w:rsidRPr="00BA041C">
              <w:t>- договоров аренды имущества</w:t>
            </w:r>
          </w:p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441F37" w:rsidRPr="00BA041C" w:rsidRDefault="00441F37" w:rsidP="00F67BA0">
            <w:pPr>
              <w:spacing w:line="256" w:lineRule="auto"/>
            </w:pPr>
            <w:r w:rsidRPr="00BA041C">
              <w:t>Аим-арендная плата, прогнозируемая к поступлению в бюджет   сельского поселения  в прогнозируемом году</w:t>
            </w:r>
          </w:p>
          <w:p w:rsidR="00441F37" w:rsidRPr="00BA041C" w:rsidRDefault="00441F37" w:rsidP="00F67BA0">
            <w:pPr>
              <w:spacing w:line="256" w:lineRule="auto"/>
            </w:pPr>
            <w:r w:rsidRPr="00BA041C">
              <w:t>Sоб – площадь объекта, сдаваемого в аренду</w:t>
            </w:r>
          </w:p>
          <w:p w:rsidR="00441F37" w:rsidRPr="00BA041C" w:rsidRDefault="00441F37" w:rsidP="00F67BA0">
            <w:pPr>
              <w:spacing w:line="256" w:lineRule="auto"/>
            </w:pPr>
            <w:r w:rsidRPr="00BA041C">
              <w:t>Апл – ставка арендной платы</w:t>
            </w:r>
          </w:p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Кин – уровень инфляции, установленный федеральным законодательством</w:t>
            </w:r>
          </w:p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 xml:space="preserve">овский </w:t>
            </w:r>
            <w:r w:rsidRPr="005F34A2">
              <w:lastRenderedPageBreak/>
              <w:t>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lastRenderedPageBreak/>
              <w:t>11105035100000120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 xml:space="preserve">Доходы от сдачи в аренду имущества, находящегося в оперативном </w:t>
            </w:r>
            <w:r w:rsidRPr="00BA041C">
              <w:lastRenderedPageBreak/>
              <w:t>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lastRenderedPageBreak/>
              <w:t>Метод прямого счета</w:t>
            </w: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Аим=</w:t>
            </w:r>
            <w:r w:rsidRPr="00BA041C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A041C">
              <w:rPr>
                <w:rFonts w:ascii="Times New Roman" w:hAnsi="Times New Roman" w:cs="Times New Roman"/>
                <w:sz w:val="20"/>
              </w:rPr>
              <w:t>об*Апл*Кин</w:t>
            </w:r>
          </w:p>
        </w:tc>
        <w:tc>
          <w:tcPr>
            <w:tcW w:w="2977" w:type="dxa"/>
          </w:tcPr>
          <w:p w:rsidR="00441F37" w:rsidRPr="00BA041C" w:rsidRDefault="00441F37" w:rsidP="00F67BA0">
            <w:pPr>
              <w:spacing w:line="256" w:lineRule="auto"/>
            </w:pPr>
            <w:r w:rsidRPr="00BA041C">
              <w:t xml:space="preserve">Алгоритм расчета определяется исходя из оценочной стоимости, ставки арендной платы и уровня </w:t>
            </w:r>
            <w:r w:rsidRPr="00BA041C">
              <w:lastRenderedPageBreak/>
              <w:t>инфляции, если иное не предусмотрено договором аренды на основании:</w:t>
            </w:r>
          </w:p>
          <w:p w:rsidR="00441F37" w:rsidRPr="00BA041C" w:rsidRDefault="00441F37" w:rsidP="00F67BA0">
            <w:pPr>
              <w:spacing w:line="256" w:lineRule="auto"/>
            </w:pPr>
            <w:r w:rsidRPr="00BA041C">
              <w:t>- договоров аренды имущества</w:t>
            </w:r>
          </w:p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441F37" w:rsidRPr="00BA041C" w:rsidRDefault="00441F37" w:rsidP="00F67BA0">
            <w:pPr>
              <w:spacing w:line="256" w:lineRule="auto"/>
            </w:pPr>
            <w:r w:rsidRPr="00BA041C">
              <w:lastRenderedPageBreak/>
              <w:t>Аим-арендная плата, прогнозируемая к поступлению в бюджет   сельского поселения  в прогнозируемом году</w:t>
            </w:r>
          </w:p>
          <w:p w:rsidR="00441F37" w:rsidRPr="00BA041C" w:rsidRDefault="00441F37" w:rsidP="00F67BA0">
            <w:pPr>
              <w:spacing w:line="256" w:lineRule="auto"/>
            </w:pPr>
            <w:r w:rsidRPr="00BA041C">
              <w:lastRenderedPageBreak/>
              <w:t>Sоб – площадь объекта, сдаваемого в аренду</w:t>
            </w:r>
          </w:p>
          <w:p w:rsidR="00441F37" w:rsidRPr="00BA041C" w:rsidRDefault="00441F37" w:rsidP="00F67BA0">
            <w:pPr>
              <w:spacing w:line="256" w:lineRule="auto"/>
            </w:pPr>
            <w:r w:rsidRPr="00BA041C">
              <w:t>Апл – ставка арендной платы</w:t>
            </w:r>
          </w:p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Кин – уровень инфляции, установленный федеральным законодательством</w:t>
            </w:r>
          </w:p>
        </w:tc>
      </w:tr>
      <w:tr w:rsidR="00441F37" w:rsidRPr="00B82146" w:rsidTr="00F67BA0">
        <w:trPr>
          <w:trHeight w:val="1538"/>
        </w:trPr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11109045100000120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441F37" w:rsidRPr="00BA041C" w:rsidRDefault="00441F37" w:rsidP="00F67BA0">
            <w:pPr>
              <w:rPr>
                <w:rFonts w:eastAsia="Calibri"/>
              </w:rPr>
            </w:pPr>
          </w:p>
        </w:tc>
      </w:tr>
      <w:tr w:rsidR="00441F37" w:rsidRPr="00B82146" w:rsidTr="00F67BA0">
        <w:trPr>
          <w:trHeight w:val="1538"/>
        </w:trPr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11302995100000130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Алгоритм расчета основан на статьях 12, 41, 51, 161, 219 Бюджетного кодекса Российской Федерации. </w:t>
            </w:r>
          </w:p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Доход имеет несистемный характер поступлений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rPr>
          <w:trHeight w:val="1211"/>
        </w:trPr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11402053100000410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spacing w:line="256" w:lineRule="auto"/>
            </w:pPr>
            <w:r w:rsidRPr="00BA041C">
              <w:t>Алгоритм расчета определяется исходя из балансовой (остаточной) стоимости объектов движимого и недвижимого имущества, планируемых к реализации и остатков основного долга по договорам купли-продажи с рассрочкой платежа на основании:</w:t>
            </w:r>
          </w:p>
          <w:p w:rsidR="00441F37" w:rsidRPr="00BA041C" w:rsidRDefault="00441F37" w:rsidP="00F67BA0">
            <w:pPr>
              <w:spacing w:line="256" w:lineRule="auto"/>
            </w:pPr>
            <w:r w:rsidRPr="00BA041C">
              <w:t>- договоров купли-продажи с предоставлением рассрочки платежа;</w:t>
            </w:r>
          </w:p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- прогнозного плана (программы) приватизации муниципального имущества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11406025100000430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spacing w:line="256" w:lineRule="auto"/>
            </w:pPr>
            <w:r w:rsidRPr="00BA041C">
              <w:t>Алгоритм расчета определяется исходя из балансовой (остаточной) стоимости земельных участков, планируемых к реализации и остатков основного долга по договорам купли-продажи с рассрочкой платежа на основании: - договоров купли-продажи с предоставлением рассрочки платежа;</w:t>
            </w:r>
          </w:p>
          <w:p w:rsidR="00441F37" w:rsidRPr="00BA041C" w:rsidRDefault="00441F37" w:rsidP="00F67BA0">
            <w:pPr>
              <w:spacing w:line="256" w:lineRule="auto"/>
            </w:pPr>
          </w:p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 xml:space="preserve">овский сельсовет </w:t>
            </w:r>
            <w:r w:rsidRPr="005F34A2">
              <w:lastRenderedPageBreak/>
              <w:t>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lastRenderedPageBreak/>
              <w:t>11607010100000140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 xml:space="preserve">Штрафы, неустойки, пени, уплаченные в случае просрочки исполнения поставщиком </w:t>
            </w:r>
            <w:r w:rsidRPr="00BA041C"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Доходы в виде штрафов, пеней в случае просрочки исполнения поставщиком (подрядчиком, исполнителем) обязательств, предусмотренных </w:t>
            </w:r>
            <w:r w:rsidRPr="00BA041C">
              <w:rPr>
                <w:rFonts w:ascii="Times New Roman" w:hAnsi="Times New Roman" w:cs="Times New Roman"/>
                <w:sz w:val="20"/>
              </w:rPr>
              <w:lastRenderedPageBreak/>
              <w:t>муниципальным контрактом, заключенным муниципальными образованиями имеют несистемный характер поступлений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 xml:space="preserve"> не прогнозируются на очередной финансовый год.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11607090100000140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имеют несистемный характер поступлений 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>и не прогнозируются на очередной финансовый год.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11701050100000180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Поступление доходов носит несистемный характер</w:t>
            </w: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Платежи, отнесенные к невыясненным поступлениям,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сельских поселений»  на  очередной  финансовый  год  </w:t>
            </w:r>
            <w:r w:rsidRPr="00BA041C">
              <w:rPr>
                <w:rFonts w:ascii="Times New Roman" w:hAnsi="Times New Roman" w:cs="Times New Roman"/>
                <w:sz w:val="20"/>
              </w:rPr>
              <w:lastRenderedPageBreak/>
              <w:t>и  плановый  период  не  производится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11705050100000180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Прочие неналоговые доходы бюджетов сельских поселений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Поступление доходов носит несистемный характер</w:t>
            </w: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>Прочие неналоговые доходы бюджета сельского поселения носят разовый характер и не прогнозируются на очередной финансовый год.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117150301 0000150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Инициативные платежи, зачисляемые в  бюджеты сельских поселений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shd w:val="clear" w:color="auto" w:fill="FFFFFF"/>
            </w:pPr>
            <w:r w:rsidRPr="00BA041C">
              <w:t>Прогнозирование поступлений осуществляется на основании итогов конкурса по отбору инициативных проектов согласно установленных нормативными правовыми актами Оренбургской области</w:t>
            </w:r>
          </w:p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202150011 0000150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 и в соответствии с решением Совета Депутатов о бюджете (проекта решения) на очередной финансовый год и плановый период Саракташского района Оренбургской области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 xml:space="preserve">овский </w:t>
            </w:r>
            <w:r w:rsidRPr="005F34A2">
              <w:lastRenderedPageBreak/>
              <w:t>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lastRenderedPageBreak/>
              <w:t>2 02 16001 10 0000 150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rPr>
                <w:shd w:val="clear" w:color="auto" w:fill="FFFFFF"/>
              </w:rPr>
              <w:t xml:space="preserve">Дотации бюджетам сельских поселений на выравнивание бюджетной </w:t>
            </w:r>
            <w:r w:rsidRPr="00BA041C">
              <w:rPr>
                <w:shd w:val="clear" w:color="auto" w:fill="FFFFFF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 xml:space="preserve">Прогнозируются на основании закона Оренбургской области об областном бюджете (проекта закона) на очередной </w:t>
            </w:r>
            <w:r w:rsidRPr="00BA041C">
              <w:rPr>
                <w:rFonts w:ascii="Times New Roman" w:eastAsia="Calibri" w:hAnsi="Times New Roman" w:cs="Times New Roman"/>
                <w:sz w:val="20"/>
              </w:rPr>
              <w:lastRenderedPageBreak/>
              <w:t>финансовый год и плановый период и в соответствии с решением Совета Депутатов о бюджете (проекта решения) на очередной финансовый год и плановый период Саракташского района Оренбургской области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20220216100000150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многоквартирных домов населенных пунктов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20220299100000150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BA041C"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441F37" w:rsidRPr="00BA041C" w:rsidRDefault="00441F37" w:rsidP="00F67BA0">
            <w:pPr>
              <w:rPr>
                <w:rFonts w:eastAsia="Calibri"/>
              </w:rPr>
            </w:pPr>
          </w:p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20220302100000150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441F37" w:rsidRPr="00BA041C" w:rsidRDefault="00441F37" w:rsidP="00F67BA0">
            <w:pPr>
              <w:rPr>
                <w:rFonts w:eastAsia="Calibri"/>
              </w:rPr>
            </w:pPr>
          </w:p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Муниципального образования                                  </w:t>
            </w:r>
            <w:r w:rsidR="005F34A2">
              <w:t>Гаврил</w:t>
            </w:r>
            <w:r w:rsidRPr="005F34A2">
              <w:t xml:space="preserve">овский сельсовет Саракташского района </w:t>
            </w:r>
            <w:r w:rsidRPr="005F34A2">
              <w:lastRenderedPageBreak/>
              <w:t>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lastRenderedPageBreak/>
              <w:t>20225576100000150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441F37" w:rsidRPr="00BA041C" w:rsidRDefault="00441F37" w:rsidP="00F67BA0">
            <w:pPr>
              <w:rPr>
                <w:rFonts w:eastAsia="Calibri"/>
              </w:rPr>
            </w:pPr>
          </w:p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20.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20229999100000150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Прочие субсидии бюджетам сельских поселений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7" w:type="dxa"/>
          </w:tcPr>
          <w:p w:rsidR="00441F37" w:rsidRPr="005F34A2" w:rsidRDefault="00441F37" w:rsidP="00F67BA0">
            <w:r w:rsidRPr="005F34A2">
              <w:t>120</w:t>
            </w:r>
          </w:p>
        </w:tc>
        <w:tc>
          <w:tcPr>
            <w:tcW w:w="1843" w:type="dxa"/>
          </w:tcPr>
          <w:p w:rsidR="00441F37" w:rsidRPr="005F34A2" w:rsidRDefault="00441F37" w:rsidP="005F34A2">
            <w:r w:rsidRPr="005F34A2">
              <w:t xml:space="preserve">Администрация Муниципального образования                                  </w:t>
            </w:r>
            <w:r w:rsidR="005F34A2">
              <w:t>Гаврил</w:t>
            </w:r>
            <w:r w:rsidRPr="005F34A2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2023511810 0000150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7" w:type="dxa"/>
          </w:tcPr>
          <w:p w:rsidR="00441F37" w:rsidRPr="005142ED" w:rsidRDefault="00441F37" w:rsidP="00F67BA0">
            <w:r w:rsidRPr="005142ED">
              <w:t>120</w:t>
            </w:r>
          </w:p>
        </w:tc>
        <w:tc>
          <w:tcPr>
            <w:tcW w:w="1843" w:type="dxa"/>
          </w:tcPr>
          <w:p w:rsidR="00441F37" w:rsidRPr="005142ED" w:rsidRDefault="00441F37" w:rsidP="005142ED">
            <w:r w:rsidRPr="005142ED">
              <w:t xml:space="preserve">Администрация Муниципального образования                                  </w:t>
            </w:r>
            <w:r w:rsidR="005142ED">
              <w:t>Гаврил</w:t>
            </w:r>
            <w:r w:rsidRPr="005142ED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20240014100000150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В соответствии с решением Совета Депутатов о бюджете (проекта решения) на очередной финансовый год и плановый период Саракташского района Оренбургской области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567" w:type="dxa"/>
          </w:tcPr>
          <w:p w:rsidR="00441F37" w:rsidRPr="005142ED" w:rsidRDefault="00441F37" w:rsidP="00F67BA0">
            <w:r w:rsidRPr="005142ED">
              <w:t>120</w:t>
            </w:r>
          </w:p>
        </w:tc>
        <w:tc>
          <w:tcPr>
            <w:tcW w:w="1843" w:type="dxa"/>
          </w:tcPr>
          <w:p w:rsidR="00441F37" w:rsidRPr="005142ED" w:rsidRDefault="00441F37" w:rsidP="005142ED">
            <w:r w:rsidRPr="005142ED">
              <w:t xml:space="preserve">Администрация Муниципального образования                                  </w:t>
            </w:r>
            <w:r w:rsidR="005142ED">
              <w:t>Гаврил</w:t>
            </w:r>
            <w:r w:rsidRPr="005142ED">
              <w:t>овский сельсовет Саракташскогорайона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 xml:space="preserve">20249999100000150 </w:t>
            </w:r>
          </w:p>
        </w:tc>
        <w:tc>
          <w:tcPr>
            <w:tcW w:w="2126" w:type="dxa"/>
          </w:tcPr>
          <w:p w:rsidR="00441F37" w:rsidRPr="00BA041C" w:rsidRDefault="00441F37" w:rsidP="00F67BA0">
            <w:r w:rsidRPr="00BA041C"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r w:rsidRPr="00BA041C">
              <w:t>Прогнозирование в бюджет сельского поселения осуществляется в соответствии с решением Совета депутатов Саракташского района о районном бюджете на очередной год и на плановый период и НПА администрации Саракташского района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567" w:type="dxa"/>
          </w:tcPr>
          <w:p w:rsidR="00441F37" w:rsidRPr="005142ED" w:rsidRDefault="00441F37" w:rsidP="00F67BA0">
            <w:r w:rsidRPr="005142ED">
              <w:t>120</w:t>
            </w:r>
          </w:p>
        </w:tc>
        <w:tc>
          <w:tcPr>
            <w:tcW w:w="1843" w:type="dxa"/>
          </w:tcPr>
          <w:p w:rsidR="00441F37" w:rsidRPr="005142ED" w:rsidRDefault="00441F37" w:rsidP="005142ED">
            <w:r w:rsidRPr="005142ED">
              <w:t xml:space="preserve">Администрация Муниципального образования                                  </w:t>
            </w:r>
            <w:r w:rsidR="005142ED">
              <w:t>Гаврил</w:t>
            </w:r>
            <w:r w:rsidRPr="005142ED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20405099100000150</w:t>
            </w:r>
          </w:p>
        </w:tc>
        <w:tc>
          <w:tcPr>
            <w:tcW w:w="2126" w:type="dxa"/>
          </w:tcPr>
          <w:p w:rsidR="00441F37" w:rsidRPr="00BA041C" w:rsidRDefault="00441F37" w:rsidP="00F67BA0">
            <w:pPr>
              <w:jc w:val="both"/>
            </w:pPr>
            <w:r w:rsidRPr="00BA041C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Прогнозирование поступлений 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3544" w:type="dxa"/>
          </w:tcPr>
          <w:p w:rsidR="00441F37" w:rsidRPr="00BA041C" w:rsidRDefault="00441F37" w:rsidP="00F67BA0"/>
        </w:tc>
      </w:tr>
      <w:tr w:rsidR="00441F37" w:rsidRPr="00B82146" w:rsidTr="00F67BA0">
        <w:tc>
          <w:tcPr>
            <w:tcW w:w="346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7" w:type="dxa"/>
          </w:tcPr>
          <w:p w:rsidR="00441F37" w:rsidRPr="005142ED" w:rsidRDefault="00441F37" w:rsidP="00F67BA0">
            <w:r w:rsidRPr="005142ED">
              <w:t>120</w:t>
            </w:r>
          </w:p>
        </w:tc>
        <w:tc>
          <w:tcPr>
            <w:tcW w:w="1843" w:type="dxa"/>
          </w:tcPr>
          <w:p w:rsidR="00441F37" w:rsidRPr="005142ED" w:rsidRDefault="00441F37" w:rsidP="005142ED">
            <w:r w:rsidRPr="005142ED">
              <w:t xml:space="preserve">Администрация Муниципального образования                                  </w:t>
            </w:r>
            <w:r w:rsidR="005142ED">
              <w:t>Гаврил</w:t>
            </w:r>
            <w:r w:rsidRPr="005142ED">
              <w:t>овский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441F37" w:rsidRPr="00A67439" w:rsidRDefault="00441F37" w:rsidP="00F67BA0">
            <w:r w:rsidRPr="00A67439">
              <w:t>20705030100000150</w:t>
            </w:r>
          </w:p>
        </w:tc>
        <w:tc>
          <w:tcPr>
            <w:tcW w:w="2126" w:type="dxa"/>
          </w:tcPr>
          <w:p w:rsidR="00441F37" w:rsidRPr="00BA041C" w:rsidRDefault="00441F37" w:rsidP="00F67BA0">
            <w:pPr>
              <w:jc w:val="both"/>
            </w:pPr>
            <w:r w:rsidRPr="00BA041C"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41F37" w:rsidRPr="00BA041C" w:rsidRDefault="00441F37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41F37" w:rsidRDefault="00441F37" w:rsidP="00F67BA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Прогнозирование поступлений 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  <w:p w:rsidR="00F67BA0" w:rsidRPr="00BA041C" w:rsidRDefault="00F67BA0" w:rsidP="00F6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441F37" w:rsidRPr="00BA041C" w:rsidRDefault="00441F37" w:rsidP="00F67BA0">
            <w:pPr>
              <w:ind w:right="-628"/>
            </w:pPr>
          </w:p>
        </w:tc>
      </w:tr>
    </w:tbl>
    <w:p w:rsidR="00441F37" w:rsidRPr="009F1F1D" w:rsidRDefault="00441F37" w:rsidP="00441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7"/>
      <w:bookmarkEnd w:id="1"/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41F37" w:rsidRPr="00AE296C" w:rsidRDefault="00441F37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sectPr w:rsidR="00441F37" w:rsidRPr="00AE296C" w:rsidSect="005F34A2">
      <w:pgSz w:w="16838" w:h="11906" w:orient="landscape"/>
      <w:pgMar w:top="851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5AA8654E"/>
    <w:lvl w:ilvl="0" w:tplc="FAF408C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046F"/>
    <w:multiLevelType w:val="hybridMultilevel"/>
    <w:tmpl w:val="F0E66580"/>
    <w:lvl w:ilvl="0" w:tplc="68D093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946C1"/>
    <w:rsid w:val="00060FFF"/>
    <w:rsid w:val="001071F1"/>
    <w:rsid w:val="001F0F58"/>
    <w:rsid w:val="002C03B8"/>
    <w:rsid w:val="00401626"/>
    <w:rsid w:val="00441F37"/>
    <w:rsid w:val="004460BA"/>
    <w:rsid w:val="004677A7"/>
    <w:rsid w:val="004A5644"/>
    <w:rsid w:val="00506111"/>
    <w:rsid w:val="00514298"/>
    <w:rsid w:val="005142ED"/>
    <w:rsid w:val="0053765D"/>
    <w:rsid w:val="00542A32"/>
    <w:rsid w:val="00554743"/>
    <w:rsid w:val="005F34A2"/>
    <w:rsid w:val="006279F5"/>
    <w:rsid w:val="0069210D"/>
    <w:rsid w:val="00770EDB"/>
    <w:rsid w:val="008534CA"/>
    <w:rsid w:val="00865CBE"/>
    <w:rsid w:val="00875804"/>
    <w:rsid w:val="00937778"/>
    <w:rsid w:val="00966953"/>
    <w:rsid w:val="009751D8"/>
    <w:rsid w:val="009946C1"/>
    <w:rsid w:val="009D2965"/>
    <w:rsid w:val="00A24629"/>
    <w:rsid w:val="00A62429"/>
    <w:rsid w:val="00A70034"/>
    <w:rsid w:val="00AD5A7C"/>
    <w:rsid w:val="00AE296C"/>
    <w:rsid w:val="00AF63CC"/>
    <w:rsid w:val="00B00A41"/>
    <w:rsid w:val="00B01681"/>
    <w:rsid w:val="00B47724"/>
    <w:rsid w:val="00B65C1F"/>
    <w:rsid w:val="00BC1B62"/>
    <w:rsid w:val="00C35427"/>
    <w:rsid w:val="00C975DD"/>
    <w:rsid w:val="00CC4A9E"/>
    <w:rsid w:val="00CC6C04"/>
    <w:rsid w:val="00CD4F72"/>
    <w:rsid w:val="00D1623C"/>
    <w:rsid w:val="00D70154"/>
    <w:rsid w:val="00DC50CC"/>
    <w:rsid w:val="00DD286D"/>
    <w:rsid w:val="00E2654E"/>
    <w:rsid w:val="00F35E33"/>
    <w:rsid w:val="00F67BA0"/>
    <w:rsid w:val="00F9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624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40">
    <w:name w:val="Заголовок 4 Знак"/>
    <w:basedOn w:val="a0"/>
    <w:link w:val="4"/>
    <w:rsid w:val="00A6242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060F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3">
    <w:name w:val="Font Style13"/>
    <w:rsid w:val="00D1623C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4A5644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441F3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3376</Words>
  <Characters>19247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</vt:lpstr>
      <vt:lpstr>    АДМИНИСТРАЦИЯ ГАВРИЛОВСКОГО СЕЛЬСОВЕТА САРАКТАШСКОГО РАЙОНА ОРЕНБУРГСКОЙ ОБЛАСТИ</vt:lpstr>
      <vt:lpstr>    Приложение к методике прогнозирования поступлений доходов</vt:lpstr>
      <vt:lpstr>    в бюджет муниципального образования Гавриловский сельсовет </vt:lpstr>
      <vt:lpstr>    Саракташского района Оренбургской области, бюджетные полномочия </vt:lpstr>
      <vt:lpstr>    главного администратора по которым осуществляет администрация </vt:lpstr>
      <vt:lpstr>    муниципального образования  Гавриловский сельсовет </vt:lpstr>
      <vt:lpstr>    Саракташского района Оренбургской области</vt:lpstr>
    </vt:vector>
  </TitlesOfParts>
  <Company/>
  <LinksUpToDate>false</LinksUpToDate>
  <CharactersWithSpaces>22578</CharactersWithSpaces>
  <SharedDoc>false</SharedDoc>
  <HLinks>
    <vt:vector size="30" baseType="variant">
      <vt:variant>
        <vt:i4>524360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2022-03-01T04:10:00Z</cp:lastPrinted>
  <dcterms:created xsi:type="dcterms:W3CDTF">2022-03-24T05:03:00Z</dcterms:created>
  <dcterms:modified xsi:type="dcterms:W3CDTF">2022-03-24T05:03:00Z</dcterms:modified>
</cp:coreProperties>
</file>